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 xml:space="preserve">We will take reasonable steps to provide free-of-charge language assistance services to people who </w:t>
      </w:r>
      <w:r>
        <w:rPr>
          <w:rFonts w:ascii="ArialMT" w:hAnsi="ArialMT" w:cs="ArialMT"/>
          <w:color w:val="000000"/>
        </w:rPr>
        <w:t xml:space="preserve">speak </w:t>
      </w:r>
      <w:r>
        <w:rPr>
          <w:rFonts w:ascii="Arial" w:hAnsi="Arial" w:cs="Arial"/>
          <w:color w:val="222222"/>
        </w:rPr>
        <w:t>languages we are likely to hear in our practice and who don’t speak English well enough to talk to us about the dental care we are providing.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Spanish: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Tomaremos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acciones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razonables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proporcionar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asistencia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lingüística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gratuitos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aquellas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personas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cuyo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lenguaje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escuchemos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frecuentemente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nuestro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consultorio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y que 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hablen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inglés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suficientemente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hablar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nosotros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sobre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servicio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odontológico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suministramos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Vietnamese: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Chúng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tôi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sẽ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thực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hiện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các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bước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cần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thiết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để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cung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cấp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dịch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vụ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hỗ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trợ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ngôn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ngữ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miễn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phí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những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người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giao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tiếp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bằng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những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ngôn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ngữ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mà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chúng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tôi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có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thể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nghe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thấy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tại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phòng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khám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của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mình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và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những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người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không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có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đủ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trình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độ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tiếng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Anh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để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thảo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luận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về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dịch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vụ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chăm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sóc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nha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khoa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mà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chúng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tôi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đang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cung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cấp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MS-Gothic" w:eastAsia="MS-Gothic" w:hAnsi="Arial" w:cs="MS-Gothic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Chinese: </w:t>
      </w:r>
      <w:proofErr w:type="spellStart"/>
      <w:r>
        <w:rPr>
          <w:rFonts w:ascii="MS-Gothic" w:eastAsia="MS-Gothic" w:hAnsi="Arial" w:cs="MS-Gothic" w:hint="eastAsia"/>
          <w:color w:val="000000"/>
          <w:sz w:val="20"/>
          <w:szCs w:val="20"/>
        </w:rPr>
        <w:t>我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们将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有序地做到提供免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费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的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语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言服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务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使我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们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能听懂英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语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不好的人向我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们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咨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询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有关牙</w:t>
      </w:r>
      <w:r>
        <w:rPr>
          <w:rFonts w:ascii="MicrosoftJhengHeiRegular" w:eastAsia="MicrosoftJhengHeiRegular" w:hAnsi="Arial" w:cs="MicrosoftJhengHeiRegular" w:hint="eastAsia"/>
          <w:color w:val="000000"/>
          <w:sz w:val="20"/>
          <w:szCs w:val="20"/>
        </w:rPr>
        <w:t>齿护</w:t>
      </w:r>
      <w:r>
        <w:rPr>
          <w:rFonts w:ascii="MS-Gothic" w:eastAsia="MS-Gothic" w:hAnsi="Arial" w:cs="MS-Gothic" w:hint="eastAsia"/>
          <w:color w:val="000000"/>
          <w:sz w:val="20"/>
          <w:szCs w:val="20"/>
        </w:rPr>
        <w:t>理</w:t>
      </w:r>
      <w:proofErr w:type="spellEnd"/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Arabic: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spellStart"/>
      <w:r>
        <w:rPr>
          <w:rFonts w:ascii="ArialMT" w:hAnsi="ArialMT" w:cs="ArialMT"/>
          <w:color w:val="000000"/>
          <w:sz w:val="24"/>
          <w:szCs w:val="24"/>
        </w:rPr>
        <w:t>سوف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نقوم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باتخاذ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خطوات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معقولة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من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أجل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توفیر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خدمات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المساعدة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اللغویة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بدون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تكلفة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للأشخاص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الذین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یتحدثون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لغات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أخرى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من</w:t>
      </w:r>
      <w:proofErr w:type="spellEnd"/>
      <w:r w:rsidR="00FA7CB0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المرجح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أن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نستمع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إلیھا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خلال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ممارستنا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والذین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لا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یتقنون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تحدث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الإنجلیزیة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بشكل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جید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یمكنھم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من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التحدث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إلینا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فیما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یتعلق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برعایة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الأسنان</w:t>
      </w:r>
      <w:proofErr w:type="spellEnd"/>
      <w:r w:rsidR="00FA7CB0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التي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نقدمھا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394864" w:rsidRDefault="00A21161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ACFA54" wp14:editId="530C4A25">
            <wp:simplePos x="0" y="0"/>
            <wp:positionH relativeFrom="column">
              <wp:posOffset>687705</wp:posOffset>
            </wp:positionH>
            <wp:positionV relativeFrom="paragraph">
              <wp:posOffset>10160</wp:posOffset>
            </wp:positionV>
            <wp:extent cx="4886325" cy="847090"/>
            <wp:effectExtent l="0" t="0" r="9525" b="0"/>
            <wp:wrapTight wrapText="bothSides">
              <wp:wrapPolygon edited="0">
                <wp:start x="0" y="0"/>
                <wp:lineTo x="0" y="20888"/>
                <wp:lineTo x="21558" y="20888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30" t="24988" r="29457" b="55220"/>
                    <a:stretch/>
                  </pic:blipFill>
                  <pic:spPr bwMode="auto">
                    <a:xfrm>
                      <a:off x="0" y="0"/>
                      <a:ext cx="4886325" cy="847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864">
        <w:rPr>
          <w:rFonts w:ascii="Arial" w:hAnsi="Arial" w:cs="Arial"/>
          <w:b/>
          <w:bCs/>
          <w:color w:val="000000"/>
          <w:sz w:val="20"/>
          <w:szCs w:val="20"/>
        </w:rPr>
        <w:t>Karen:</w:t>
      </w:r>
      <w:r w:rsidRPr="00A21161">
        <w:rPr>
          <w:noProof/>
        </w:rPr>
        <w:t xml:space="preserve"> </w:t>
      </w:r>
    </w:p>
    <w:p w:rsidR="00A21161" w:rsidRDefault="00A21161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1161" w:rsidRDefault="00A21161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1161" w:rsidRDefault="00A21161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1161" w:rsidRDefault="00A21161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French: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prendrons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mesures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raisonnables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fournir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des services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d'assistance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linguistique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gratuits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pour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individus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parlent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langues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nous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sommes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susceptibles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d'entendre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séances et qui 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parlent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suffisamment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l'anglais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discuter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avec nous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concernant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soins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dentaires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que nous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fournissons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Cushite (Oromo):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Wayita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hojjii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keenyatti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Afaanota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garaagaraa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namoota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dubbatani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tajaajila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yaalaa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kenninuuf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kan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dandeessisu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namoota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dandeettii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Aaan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Ingilliffaa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gahaa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qabneef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deeggarsa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afaanii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kanfaltii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irraa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bilisa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kennuudhaaf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tarkaanfii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bu’a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qabeessa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fudhanna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German: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Wir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werden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angemessene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Schritte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unternehmen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gebührenfreie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Sprachunterstützung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bieten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Sprachen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sprechen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möglicherweise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unserer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Praxis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hören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Englisch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sprechen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das gut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genug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uns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über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Zahnpflege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sprechen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die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anbieten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Korean: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MalgunGothicRegular" w:eastAsia="MalgunGothicRegular" w:hAnsi="Arial" w:cs="MalgunGothicRegular"/>
          <w:color w:val="000000"/>
          <w:sz w:val="20"/>
          <w:szCs w:val="20"/>
        </w:rPr>
      </w:pP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저희는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적절한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조치를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통하여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언어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지원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서비스를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무료로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제공할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것입니다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다만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실제로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저희에게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관심이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있는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언어를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쓰지만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저희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치아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관리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서비스에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대해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의견을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줄</w:t>
      </w:r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수</w:t>
      </w:r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있을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만큼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영어로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의사소통이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원활하지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않는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경우로</w:t>
      </w:r>
      <w:proofErr w:type="spellEnd"/>
      <w:r>
        <w:rPr>
          <w:rFonts w:ascii="MalgunGothicRegular" w:eastAsia="MalgunGothicRegular" w:hAnsi="Arial" w:cs="MalgunGothicRegular"/>
          <w:color w:val="000000"/>
          <w:sz w:val="20"/>
          <w:szCs w:val="20"/>
        </w:rPr>
        <w:t xml:space="preserve"> </w:t>
      </w:r>
      <w:proofErr w:type="spellStart"/>
      <w:r>
        <w:rPr>
          <w:rFonts w:ascii="MalgunGothicRegular" w:eastAsia="MalgunGothicRegular" w:hAnsi="Arial" w:cs="MalgunGothicRegular" w:hint="eastAsia"/>
          <w:color w:val="000000"/>
          <w:sz w:val="20"/>
          <w:szCs w:val="20"/>
        </w:rPr>
        <w:t>한정합니다</w:t>
      </w:r>
      <w:proofErr w:type="spellEnd"/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Nepali: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color w:val="222222"/>
          <w:sz w:val="20"/>
          <w:szCs w:val="20"/>
        </w:rPr>
      </w:pP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हामीले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उपलब्ध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गराउनेदन्तसेवाको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बारेमा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राम्रो</w:t>
      </w:r>
      <w:proofErr w:type="spellEnd"/>
      <w:r>
        <w:rPr>
          <w:rFonts w:ascii="Cambria Math" w:hAnsi="Cambria Math" w:cs="Cambria Math"/>
          <w:color w:val="222222"/>
          <w:sz w:val="20"/>
          <w:szCs w:val="20"/>
        </w:rPr>
        <w:t>􀍧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सत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अंग्रेजीमा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कुरा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गनर्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नसक्नेर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हाम्रो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अभ्यासमा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हामीले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सुन्नेभाषाको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ला</w:t>
      </w:r>
      <w:proofErr w:type="spellEnd"/>
      <w:r>
        <w:rPr>
          <w:rFonts w:ascii="Cambria Math" w:hAnsi="Cambria Math" w:cs="Cambria Math"/>
          <w:color w:val="222222"/>
          <w:sz w:val="20"/>
          <w:szCs w:val="20"/>
        </w:rPr>
        <w:t>􀍬</w:t>
      </w:r>
      <w:r>
        <w:rPr>
          <w:rFonts w:ascii="Nirmala UI" w:hAnsi="Nirmala UI" w:cs="Nirmala UI"/>
          <w:color w:val="222222"/>
          <w:sz w:val="20"/>
          <w:szCs w:val="20"/>
        </w:rPr>
        <w:t>ग</w:t>
      </w:r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भाषासम्बन्धी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सेवा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r>
        <w:rPr>
          <w:rFonts w:ascii="Cambria Math" w:hAnsi="Cambria Math" w:cs="Cambria Math"/>
          <w:color w:val="222222"/>
          <w:sz w:val="20"/>
          <w:szCs w:val="20"/>
        </w:rPr>
        <w:t>􀇓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नशुल्क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उपलब्ध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गराउन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हामीले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जरुर</w:t>
      </w:r>
      <w:proofErr w:type="spellEnd"/>
      <w:r>
        <w:rPr>
          <w:rFonts w:ascii="Cambria Math" w:hAnsi="Cambria Math" w:cs="Cambria Math"/>
          <w:color w:val="222222"/>
          <w:sz w:val="20"/>
          <w:szCs w:val="20"/>
        </w:rPr>
        <w:t>􀈣</w:t>
      </w:r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कदमहरू</w:t>
      </w:r>
      <w:proofErr w:type="spellEnd"/>
      <w:r>
        <w:rPr>
          <w:rFonts w:ascii="Mangal" w:hAnsi="Mangal" w:cs="Mangal"/>
          <w:color w:val="222222"/>
          <w:sz w:val="20"/>
          <w:szCs w:val="20"/>
        </w:rPr>
        <w:t xml:space="preserve"> </w:t>
      </w:r>
      <w:proofErr w:type="spellStart"/>
      <w:r>
        <w:rPr>
          <w:rFonts w:ascii="Nirmala UI" w:hAnsi="Nirmala UI" w:cs="Nirmala UI"/>
          <w:color w:val="222222"/>
          <w:sz w:val="20"/>
          <w:szCs w:val="20"/>
        </w:rPr>
        <w:t>चाल्नेछे</w:t>
      </w:r>
      <w:proofErr w:type="spellEnd"/>
      <w:r>
        <w:rPr>
          <w:rFonts w:ascii="Cambria Math" w:hAnsi="Cambria Math" w:cs="Cambria Math"/>
          <w:color w:val="222222"/>
          <w:sz w:val="20"/>
          <w:szCs w:val="20"/>
        </w:rPr>
        <w:t>􀉉</w:t>
      </w:r>
      <w:r>
        <w:rPr>
          <w:rFonts w:ascii="Mangal" w:hAnsi="Mangal" w:cs="Mangal"/>
          <w:color w:val="222222"/>
          <w:sz w:val="20"/>
          <w:szCs w:val="20"/>
        </w:rPr>
        <w:t xml:space="preserve"> </w:t>
      </w:r>
      <w:r>
        <w:rPr>
          <w:rFonts w:ascii="Nirmala UI" w:hAnsi="Nirmala UI" w:cs="Nirmala UI"/>
          <w:color w:val="222222"/>
          <w:sz w:val="20"/>
          <w:szCs w:val="20"/>
        </w:rPr>
        <w:t>।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Russian: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sz w:val="20"/>
          <w:szCs w:val="20"/>
        </w:rPr>
        <w:t>Мы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принимаем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необходимые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меры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чтобы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предоставить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бесплатные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услуги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переводчика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для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общения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на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языках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с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которыми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мы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сталкиваемся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нашей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практике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клиентами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которые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владеют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английским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языком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достаточно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чтобы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обсудить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нами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стоматологическое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обслуживание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которое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мы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sz w:val="20"/>
          <w:szCs w:val="20"/>
        </w:rPr>
        <w:t>предоставляем</w:t>
      </w:r>
      <w:proofErr w:type="spellEnd"/>
      <w:r>
        <w:rPr>
          <w:rFonts w:ascii="ArialMT" w:hAnsi="ArialMT" w:cs="ArialMT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Laotian: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Leelawadee UI" w:hAnsi="Leelawadee UI" w:cs="Leelawadee UI"/>
          <w:color w:val="000000"/>
          <w:sz w:val="20"/>
          <w:szCs w:val="20"/>
          <w:lang w:bidi="th-TH"/>
        </w:rPr>
        <w:t>ພວກເຮົາຈະໃຊ້ຂັ້ນຕອນທີ່ເໝາະສົມ</w:t>
      </w:r>
      <w:proofErr w:type="spellEnd"/>
      <w:r>
        <w:rPr>
          <w:rFonts w:ascii="DokChampa" w:hAnsi="Arial" w:cs="DokChampa"/>
          <w:color w:val="000000"/>
          <w:sz w:val="20"/>
          <w:szCs w:val="20"/>
          <w:lang w:bidi="th-TH"/>
        </w:rPr>
        <w:t xml:space="preserve"> </w:t>
      </w:r>
      <w:r>
        <w:rPr>
          <w:rFonts w:ascii="Leelawadee UI" w:hAnsi="Leelawadee UI" w:cs="Leelawadee UI"/>
          <w:color w:val="000000"/>
          <w:sz w:val="20"/>
          <w:szCs w:val="20"/>
          <w:lang w:bidi="th-TH"/>
        </w:rPr>
        <w:t>ເພື່ອໃຫ້ບໍລິການຊ່ວຍເຫຼືອດ້ານພາສາບໍ່ເສຍຄ່າແກ້ຄົນຜູ້ທີ່ເວົ້າພາສາທີ່ພວກເຮົາອາດຈະໄດ້ຍິນຢູ່ໃນການຝຶກຊ້ອມຂອງພວກເຮົາ</w:t>
      </w:r>
      <w:r>
        <w:rPr>
          <w:rFonts w:ascii="DokChampa" w:hAnsi="Arial" w:cs="DokChampa"/>
          <w:color w:val="000000"/>
          <w:sz w:val="20"/>
          <w:szCs w:val="20"/>
          <w:lang w:bidi="th-TH"/>
        </w:rPr>
        <w:t xml:space="preserve"> </w:t>
      </w:r>
      <w:proofErr w:type="spellStart"/>
      <w:r>
        <w:rPr>
          <w:rFonts w:ascii="Leelawadee UI" w:hAnsi="Leelawadee UI" w:cs="Leelawadee UI"/>
          <w:color w:val="000000"/>
          <w:sz w:val="20"/>
          <w:szCs w:val="20"/>
          <w:lang w:bidi="th-TH"/>
        </w:rPr>
        <w:t>ແລະ</w:t>
      </w:r>
      <w:proofErr w:type="spellEnd"/>
      <w:r>
        <w:rPr>
          <w:rFonts w:ascii="DokChampa" w:hAnsi="Arial" w:cs="DokChampa"/>
          <w:color w:val="000000"/>
          <w:sz w:val="20"/>
          <w:szCs w:val="20"/>
          <w:lang w:bidi="th-TH"/>
        </w:rPr>
        <w:t xml:space="preserve"> </w:t>
      </w:r>
      <w:proofErr w:type="spellStart"/>
      <w:r>
        <w:rPr>
          <w:rFonts w:ascii="Leelawadee UI" w:hAnsi="Leelawadee UI" w:cs="Leelawadee UI"/>
          <w:color w:val="000000"/>
          <w:sz w:val="20"/>
          <w:szCs w:val="20"/>
          <w:lang w:bidi="th-TH"/>
        </w:rPr>
        <w:t>ຜູ້ທີ່ບໍ່ເວົ້າພາສາອັງກິດໄດ້ດີພໍ</w:t>
      </w:r>
      <w:proofErr w:type="spellEnd"/>
      <w:r>
        <w:rPr>
          <w:rFonts w:ascii="DokChampa" w:hAnsi="Arial" w:cs="DokChampa"/>
          <w:color w:val="000000"/>
          <w:sz w:val="20"/>
          <w:szCs w:val="20"/>
          <w:lang w:bidi="th-TH"/>
        </w:rPr>
        <w:t xml:space="preserve"> </w:t>
      </w:r>
      <w:r>
        <w:rPr>
          <w:rFonts w:ascii="Leelawadee UI" w:hAnsi="Leelawadee UI" w:cs="Leelawadee UI"/>
          <w:color w:val="000000"/>
          <w:sz w:val="20"/>
          <w:szCs w:val="20"/>
          <w:lang w:bidi="th-TH"/>
        </w:rPr>
        <w:t>ເພື່ອລົມກັບພວກເຮົາກ່ຽວກັບການເບິ່ງແຍງດູແລແຂ້ວທີ່ພວກເຮົາກໍາລັງຈັດໃຫ້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Kurdish: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20"/>
          <w:szCs w:val="20"/>
        </w:rPr>
      </w:pPr>
      <w:proofErr w:type="spellStart"/>
      <w:r>
        <w:rPr>
          <w:rFonts w:ascii="ArialMT" w:hAnsi="ArialMT" w:cs="ArialMT"/>
          <w:color w:val="222222"/>
          <w:sz w:val="20"/>
          <w:szCs w:val="20"/>
        </w:rPr>
        <w:t>ھھنگاوی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گونجاو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دەگرینھبھر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بۆ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پێشکھشكردنی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خزمھتگوزاری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بھخۆڕایی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یارمھتی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زمان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بۆ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ئھو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کھسانھی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زمانی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تر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قسھ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دەکھن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و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ئینگلیزی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باش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نازانن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بۆ</w:t>
      </w:r>
      <w:proofErr w:type="spellEnd"/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MT" w:hAnsi="ArialMT" w:cs="ArialMT"/>
          <w:color w:val="222222"/>
          <w:sz w:val="20"/>
          <w:szCs w:val="20"/>
        </w:rPr>
        <w:t>قسھکردن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لھگھڵ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ئێمھ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دەربارەی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چاودێری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ددان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کھ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پێشکھشی</w:t>
      </w:r>
      <w:proofErr w:type="spellEnd"/>
      <w:r>
        <w:rPr>
          <w:rFonts w:ascii="ArialMT" w:hAnsi="ArialMT" w:cs="ArialMT"/>
          <w:color w:val="222222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222222"/>
          <w:sz w:val="20"/>
          <w:szCs w:val="20"/>
        </w:rPr>
        <w:t>دەکھین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Persian (Farsi): </w:t>
      </w:r>
      <w:proofErr w:type="spellStart"/>
      <w:r>
        <w:rPr>
          <w:rFonts w:ascii="ArialMT" w:hAnsi="ArialMT" w:cs="ArialMT"/>
          <w:color w:val="000000"/>
        </w:rPr>
        <w:t>ما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برای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ارائھ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خدمات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ترجمھ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رایگان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افرادی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کھ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زبان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انگلیسی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آنھا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برای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صحبت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درباره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خدمات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مراقب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از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دندان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ارایھ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شده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در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حد</w:t>
      </w:r>
      <w:proofErr w:type="spellEnd"/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کافی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نبوده</w:t>
      </w:r>
      <w:proofErr w:type="spellEnd"/>
      <w:r>
        <w:rPr>
          <w:rFonts w:ascii="ArialMT" w:hAnsi="ArialMT" w:cs="ArialMT"/>
          <w:color w:val="000000"/>
        </w:rPr>
        <w:t xml:space="preserve"> و </w:t>
      </w:r>
      <w:proofErr w:type="spellStart"/>
      <w:r>
        <w:rPr>
          <w:rFonts w:ascii="ArialMT" w:hAnsi="ArialMT" w:cs="ArialMT"/>
          <w:color w:val="000000"/>
        </w:rPr>
        <w:t>بھ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زبان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ھای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صحبت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کنند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کھ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بھ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احتمال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زیاد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در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ھنگام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کار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آنھا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سر</w:t>
      </w:r>
      <w:proofErr w:type="spellEnd"/>
      <w:r>
        <w:rPr>
          <w:rFonts w:ascii="ArialMT" w:hAnsi="ArialMT" w:cs="ArialMT"/>
          <w:color w:val="000000"/>
        </w:rPr>
        <w:t xml:space="preserve"> و </w:t>
      </w:r>
      <w:proofErr w:type="spellStart"/>
      <w:r>
        <w:rPr>
          <w:rFonts w:ascii="ArialMT" w:hAnsi="ArialMT" w:cs="ArialMT"/>
          <w:color w:val="000000"/>
        </w:rPr>
        <w:t>کار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پیدا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کنیم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گام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ھایی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منطقی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را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بر</w:t>
      </w:r>
      <w:proofErr w:type="spellEnd"/>
      <w:r>
        <w:rPr>
          <w:rFonts w:ascii="ArialMT" w:hAnsi="ArialMT" w:cs="ArialMT"/>
          <w:color w:val="000000"/>
        </w:rPr>
        <w:t xml:space="preserve"> </w:t>
      </w:r>
      <w:proofErr w:type="spellStart"/>
      <w:r>
        <w:rPr>
          <w:rFonts w:ascii="ArialMT" w:hAnsi="ArialMT" w:cs="ArialMT"/>
          <w:color w:val="000000"/>
        </w:rPr>
        <w:t>خواھیم</w:t>
      </w:r>
      <w:proofErr w:type="spellEnd"/>
    </w:p>
    <w:p w:rsidR="00394864" w:rsidRDefault="00394864" w:rsidP="003948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proofErr w:type="spellStart"/>
      <w:r>
        <w:rPr>
          <w:rFonts w:ascii="ArialMT" w:hAnsi="ArialMT" w:cs="ArialMT"/>
          <w:color w:val="000000"/>
        </w:rPr>
        <w:t>داشت</w:t>
      </w:r>
      <w:proofErr w:type="spellEnd"/>
      <w:r>
        <w:rPr>
          <w:rFonts w:ascii="ArialMT" w:hAnsi="ArialMT" w:cs="ArialMT"/>
          <w:color w:val="000000"/>
        </w:rPr>
        <w:t>.</w:t>
      </w:r>
    </w:p>
    <w:p w:rsidR="00A21161" w:rsidRPr="00A21161" w:rsidRDefault="00394864" w:rsidP="00394864">
      <w:pPr>
        <w:rPr>
          <w:rFonts w:ascii="MalgunGothicRegular" w:eastAsia="MalgunGothicRegular" w:hAnsi="ArialMT" w:cs="MalgunGothicRegular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Japanese: </w:t>
      </w:r>
      <w:r>
        <w:rPr>
          <w:rFonts w:ascii="MS-Gothic" w:eastAsia="MS-Gothic" w:hAnsi="ArialMT" w:cs="MS-Gothic" w:hint="eastAsia"/>
          <w:color w:val="000000"/>
        </w:rPr>
        <w:t>実際</w:t>
      </w:r>
      <w:r>
        <w:rPr>
          <w:rFonts w:ascii="MalgunGothicRegular" w:eastAsia="MalgunGothicRegular" w:hAnsi="ArialMT" w:cs="MalgunGothicRegular" w:hint="eastAsia"/>
          <w:color w:val="000000"/>
        </w:rPr>
        <w:t>に</w:t>
      </w:r>
      <w:r>
        <w:rPr>
          <w:rFonts w:ascii="MS-Gothic" w:eastAsia="MS-Gothic" w:hAnsi="ArialMT" w:cs="MS-Gothic" w:hint="eastAsia"/>
          <w:color w:val="000000"/>
        </w:rPr>
        <w:t>練習</w:t>
      </w:r>
      <w:r>
        <w:rPr>
          <w:rFonts w:ascii="MalgunGothicRegular" w:eastAsia="MalgunGothicRegular" w:hAnsi="ArialMT" w:cs="MalgunGothicRegular" w:hint="eastAsia"/>
          <w:color w:val="000000"/>
        </w:rPr>
        <w:t>の</w:t>
      </w:r>
      <w:r>
        <w:rPr>
          <w:rFonts w:ascii="MS-Gothic" w:eastAsia="MS-Gothic" w:hAnsi="ArialMT" w:cs="MS-Gothic" w:hint="eastAsia"/>
          <w:color w:val="000000"/>
        </w:rPr>
        <w:t>中</w:t>
      </w:r>
      <w:r>
        <w:rPr>
          <w:rFonts w:ascii="MalgunGothicRegular" w:eastAsia="MalgunGothicRegular" w:hAnsi="ArialMT" w:cs="MalgunGothicRegular" w:hint="eastAsia"/>
          <w:color w:val="000000"/>
        </w:rPr>
        <w:t>で</w:t>
      </w:r>
      <w:r>
        <w:rPr>
          <w:rFonts w:ascii="MS-Gothic" w:eastAsia="MS-Gothic" w:hAnsi="ArialMT" w:cs="MS-Gothic" w:hint="eastAsia"/>
          <w:color w:val="000000"/>
        </w:rPr>
        <w:t>耳</w:t>
      </w:r>
      <w:r>
        <w:rPr>
          <w:rFonts w:ascii="MalgunGothicRegular" w:eastAsia="MalgunGothicRegular" w:hAnsi="ArialMT" w:cs="MalgunGothicRegular" w:hint="eastAsia"/>
          <w:color w:val="000000"/>
        </w:rPr>
        <w:t>にするく</w:t>
      </w:r>
      <w:r>
        <w:rPr>
          <w:rFonts w:ascii="MS-Gothic" w:eastAsia="MS-Gothic" w:hAnsi="ArialMT" w:cs="MS-Gothic" w:hint="eastAsia"/>
          <w:color w:val="000000"/>
        </w:rPr>
        <w:t>可能性</w:t>
      </w:r>
      <w:r>
        <w:rPr>
          <w:rFonts w:ascii="MalgunGothicRegular" w:eastAsia="MalgunGothicRegular" w:hAnsi="ArialMT" w:cs="MalgunGothicRegular" w:hint="eastAsia"/>
          <w:color w:val="000000"/>
        </w:rPr>
        <w:t>がある</w:t>
      </w:r>
      <w:r>
        <w:rPr>
          <w:rFonts w:ascii="MS-Gothic" w:eastAsia="MS-Gothic" w:hAnsi="ArialMT" w:cs="MS-Gothic" w:hint="eastAsia"/>
          <w:color w:val="000000"/>
        </w:rPr>
        <w:t>言語</w:t>
      </w:r>
      <w:r>
        <w:rPr>
          <w:rFonts w:ascii="MalgunGothicRegular" w:eastAsia="MalgunGothicRegular" w:hAnsi="ArialMT" w:cs="MalgunGothicRegular" w:hint="eastAsia"/>
          <w:color w:val="000000"/>
        </w:rPr>
        <w:t>を</w:t>
      </w:r>
      <w:r>
        <w:rPr>
          <w:rFonts w:ascii="MS-Gothic" w:eastAsia="MS-Gothic" w:hAnsi="ArialMT" w:cs="MS-Gothic" w:hint="eastAsia"/>
          <w:color w:val="000000"/>
        </w:rPr>
        <w:t>話</w:t>
      </w:r>
      <w:r>
        <w:rPr>
          <w:rFonts w:ascii="MalgunGothicRegular" w:eastAsia="MalgunGothicRegular" w:hAnsi="ArialMT" w:cs="MalgunGothicRegular" w:hint="eastAsia"/>
          <w:color w:val="000000"/>
        </w:rPr>
        <w:t>す</w:t>
      </w:r>
      <w:r>
        <w:rPr>
          <w:rFonts w:ascii="MS-Gothic" w:eastAsia="MS-Gothic" w:hAnsi="ArialMT" w:cs="MS-Gothic" w:hint="eastAsia"/>
          <w:color w:val="000000"/>
        </w:rPr>
        <w:t>人々</w:t>
      </w:r>
      <w:r>
        <w:rPr>
          <w:rFonts w:ascii="MalgunGothicRegular" w:eastAsia="MalgunGothicRegular" w:hAnsi="ArialMT" w:cs="MalgunGothicRegular" w:hint="eastAsia"/>
          <w:color w:val="000000"/>
        </w:rPr>
        <w:t>で、</w:t>
      </w:r>
      <w:r>
        <w:rPr>
          <w:rFonts w:ascii="MS-Gothic" w:eastAsia="MS-Gothic" w:hAnsi="ArialMT" w:cs="MS-Gothic" w:hint="eastAsia"/>
          <w:color w:val="000000"/>
        </w:rPr>
        <w:t>弊社</w:t>
      </w:r>
      <w:r>
        <w:rPr>
          <w:rFonts w:ascii="MalgunGothicRegular" w:eastAsia="MalgunGothicRegular" w:hAnsi="ArialMT" w:cs="MalgunGothicRegular" w:hint="eastAsia"/>
          <w:color w:val="000000"/>
        </w:rPr>
        <w:t>が</w:t>
      </w:r>
      <w:r>
        <w:rPr>
          <w:rFonts w:ascii="MS-Gothic" w:eastAsia="MS-Gothic" w:hAnsi="ArialMT" w:cs="MS-Gothic" w:hint="eastAsia"/>
          <w:color w:val="000000"/>
        </w:rPr>
        <w:t>提供</w:t>
      </w:r>
      <w:r>
        <w:rPr>
          <w:rFonts w:ascii="MalgunGothicRegular" w:eastAsia="MalgunGothicRegular" w:hAnsi="ArialMT" w:cs="MalgunGothicRegular" w:hint="eastAsia"/>
          <w:color w:val="000000"/>
        </w:rPr>
        <w:t>している</w:t>
      </w:r>
      <w:r>
        <w:rPr>
          <w:rFonts w:ascii="MS-Gothic" w:eastAsia="MS-Gothic" w:hAnsi="ArialMT" w:cs="MS-Gothic" w:hint="eastAsia"/>
          <w:color w:val="000000"/>
        </w:rPr>
        <w:t>歯科治療</w:t>
      </w:r>
      <w:r>
        <w:rPr>
          <w:rFonts w:ascii="MalgunGothicRegular" w:eastAsia="MalgunGothicRegular" w:hAnsi="ArialMT" w:cs="MalgunGothicRegular" w:hint="eastAsia"/>
          <w:color w:val="000000"/>
        </w:rPr>
        <w:t>について、</w:t>
      </w:r>
      <w:r>
        <w:rPr>
          <w:rFonts w:ascii="MS-Gothic" w:eastAsia="MS-Gothic" w:hAnsi="ArialMT" w:cs="MS-Gothic" w:hint="eastAsia"/>
          <w:color w:val="000000"/>
        </w:rPr>
        <w:t>英語</w:t>
      </w:r>
      <w:r>
        <w:rPr>
          <w:rFonts w:ascii="MalgunGothicRegular" w:eastAsia="MalgunGothicRegular" w:hAnsi="ArialMT" w:cs="MalgunGothicRegular" w:hint="eastAsia"/>
          <w:color w:val="000000"/>
        </w:rPr>
        <w:t>がそれほど</w:t>
      </w:r>
      <w:r>
        <w:rPr>
          <w:rFonts w:ascii="MS-Gothic" w:eastAsia="MS-Gothic" w:hAnsi="ArialMT" w:cs="MS-Gothic" w:hint="eastAsia"/>
          <w:color w:val="000000"/>
        </w:rPr>
        <w:t>上手</w:t>
      </w:r>
      <w:r>
        <w:rPr>
          <w:rFonts w:ascii="MalgunGothicRegular" w:eastAsia="MalgunGothicRegular" w:hAnsi="ArialMT" w:cs="MalgunGothicRegular" w:hint="eastAsia"/>
          <w:color w:val="000000"/>
        </w:rPr>
        <w:t>でない</w:t>
      </w:r>
      <w:r>
        <w:rPr>
          <w:rFonts w:ascii="MS-Gothic" w:eastAsia="MS-Gothic" w:hAnsi="ArialMT" w:cs="MS-Gothic" w:hint="eastAsia"/>
          <w:color w:val="000000"/>
        </w:rPr>
        <w:t>人々</w:t>
      </w:r>
      <w:r>
        <w:rPr>
          <w:rFonts w:ascii="MalgunGothicRegular" w:eastAsia="MalgunGothicRegular" w:hAnsi="ArialMT" w:cs="MalgunGothicRegular" w:hint="eastAsia"/>
          <w:color w:val="000000"/>
        </w:rPr>
        <w:t>に、</w:t>
      </w:r>
      <w:r>
        <w:rPr>
          <w:rFonts w:ascii="MS-Gothic" w:eastAsia="MS-Gothic" w:hAnsi="ArialMT" w:cs="MS-Gothic" w:hint="eastAsia"/>
          <w:color w:val="000000"/>
        </w:rPr>
        <w:t>無償</w:t>
      </w:r>
      <w:r>
        <w:rPr>
          <w:rFonts w:ascii="MalgunGothicRegular" w:eastAsia="MalgunGothicRegular" w:hAnsi="ArialMT" w:cs="MalgunGothicRegular" w:hint="eastAsia"/>
          <w:color w:val="000000"/>
        </w:rPr>
        <w:t>の</w:t>
      </w:r>
      <w:r>
        <w:rPr>
          <w:rFonts w:ascii="MS-Gothic" w:eastAsia="MS-Gothic" w:hAnsi="ArialMT" w:cs="MS-Gothic" w:hint="eastAsia"/>
          <w:color w:val="000000"/>
        </w:rPr>
        <w:t>言語支援</w:t>
      </w:r>
      <w:r>
        <w:rPr>
          <w:rFonts w:ascii="MalgunGothicRegular" w:eastAsia="MalgunGothicRegular" w:hAnsi="ArialMT" w:cs="MalgunGothicRegular" w:hint="eastAsia"/>
          <w:color w:val="000000"/>
        </w:rPr>
        <w:t>サ</w:t>
      </w:r>
      <w:r>
        <w:rPr>
          <w:rFonts w:ascii="MS-Gothic" w:eastAsia="MS-Gothic" w:hAnsi="ArialMT" w:cs="MS-Gothic" w:hint="eastAsia"/>
          <w:color w:val="000000"/>
        </w:rPr>
        <w:t>ー</w:t>
      </w:r>
      <w:r>
        <w:rPr>
          <w:rFonts w:ascii="MalgunGothicRegular" w:eastAsia="MalgunGothicRegular" w:hAnsi="ArialMT" w:cs="MalgunGothicRegular" w:hint="eastAsia"/>
          <w:color w:val="000000"/>
        </w:rPr>
        <w:t>ビスを</w:t>
      </w:r>
      <w:r>
        <w:rPr>
          <w:rFonts w:ascii="MS-Gothic" w:eastAsia="MS-Gothic" w:hAnsi="ArialMT" w:cs="MS-Gothic" w:hint="eastAsia"/>
          <w:color w:val="000000"/>
        </w:rPr>
        <w:t>提供</w:t>
      </w:r>
      <w:r>
        <w:rPr>
          <w:rFonts w:ascii="MalgunGothicRegular" w:eastAsia="MalgunGothicRegular" w:hAnsi="ArialMT" w:cs="MalgunGothicRegular" w:hint="eastAsia"/>
          <w:color w:val="000000"/>
        </w:rPr>
        <w:t>するために</w:t>
      </w:r>
      <w:r>
        <w:rPr>
          <w:rFonts w:ascii="MS-Gothic" w:eastAsia="MS-Gothic" w:hAnsi="ArialMT" w:cs="MS-Gothic" w:hint="eastAsia"/>
          <w:color w:val="000000"/>
        </w:rPr>
        <w:t>合理的</w:t>
      </w:r>
      <w:r>
        <w:rPr>
          <w:rFonts w:ascii="MalgunGothicRegular" w:eastAsia="MalgunGothicRegular" w:hAnsi="ArialMT" w:cs="MalgunGothicRegular" w:hint="eastAsia"/>
          <w:color w:val="000000"/>
        </w:rPr>
        <w:t>な</w:t>
      </w:r>
      <w:r>
        <w:rPr>
          <w:rFonts w:ascii="MS-Gothic" w:eastAsia="MS-Gothic" w:hAnsi="ArialMT" w:cs="MS-Gothic" w:hint="eastAsia"/>
          <w:color w:val="000000"/>
        </w:rPr>
        <w:t>措置</w:t>
      </w:r>
      <w:r>
        <w:rPr>
          <w:rFonts w:ascii="MalgunGothicRegular" w:eastAsia="MalgunGothicRegular" w:hAnsi="ArialMT" w:cs="MalgunGothicRegular" w:hint="eastAsia"/>
          <w:color w:val="000000"/>
        </w:rPr>
        <w:t>を</w:t>
      </w:r>
      <w:r>
        <w:rPr>
          <w:rFonts w:ascii="MS-Gothic" w:eastAsia="MS-Gothic" w:hAnsi="ArialMT" w:cs="MS-Gothic" w:hint="eastAsia"/>
          <w:color w:val="000000"/>
        </w:rPr>
        <w:t>講</w:t>
      </w:r>
      <w:r>
        <w:rPr>
          <w:rFonts w:ascii="MalgunGothicRegular" w:eastAsia="MalgunGothicRegular" w:hAnsi="ArialMT" w:cs="MalgunGothicRegular" w:hint="eastAsia"/>
          <w:color w:val="000000"/>
        </w:rPr>
        <w:t>じるつもりです。</w:t>
      </w:r>
      <w:bookmarkStart w:id="0" w:name="_GoBack"/>
      <w:bookmarkEnd w:id="0"/>
    </w:p>
    <w:sectPr w:rsidR="00A21161" w:rsidRPr="00A21161" w:rsidSect="00A2116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algunGothic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okChampa">
    <w:altName w:val="Arial Unicode MS"/>
    <w:panose1 w:val="020B0604020202020204"/>
    <w:charset w:val="DE"/>
    <w:family w:val="auto"/>
    <w:notTrueType/>
    <w:pitch w:val="default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64"/>
    <w:rsid w:val="00394864"/>
    <w:rsid w:val="00A21161"/>
    <w:rsid w:val="00B808AE"/>
    <w:rsid w:val="00DD16CF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2B4CD-FBCB-452F-9134-79E53860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2016-09-27T19:56:00Z</dcterms:created>
  <dcterms:modified xsi:type="dcterms:W3CDTF">2016-09-29T15:11:00Z</dcterms:modified>
</cp:coreProperties>
</file>